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9293</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张  放</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电力系统及其自动化</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破格晋升岗位</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张  放</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1988-01</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24677"/>
                  <wp:docPr id="1" name="Picture 1"/>
                  <wp:cNvGraphicFramePr>
                    <a:graphicFrameLocks noChangeAspect="1"/>
                  </wp:cNvGraphicFramePr>
                  <a:graphic>
                    <a:graphicData uri="http://schemas.openxmlformats.org/drawingml/2006/picture">
                      <pic:pic>
                        <pic:nvPicPr>
                          <pic:cNvPr id="0" name="9293.jpg"/>
                          <pic:cNvPicPr/>
                        </pic:nvPicPr>
                        <pic:blipFill>
                          <a:blip r:embed="rId18"/>
                          <a:stretch>
                            <a:fillRect/>
                          </a:stretch>
                        </pic:blipFill>
                        <pic:spPr>
                          <a:xfrm>
                            <a:off x="0" y="0"/>
                            <a:ext cx="1143000" cy="1524677"/>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2015-07</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2018-08</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副教授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2018-08</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副教授三级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2018-08</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电力系教师党支部书记</w:t>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2006.08</w:t>
            </w:r>
            <w:r>
              <w:rPr>
                <w:rFonts w:ascii="宋体" w:hAnsi="宋体" w:hint="eastAsia"/>
                <w:szCs w:val="21"/>
              </w:rPr>
              <w:t xml:space="preserve">--</w:t>
            </w:r>
            <w:r w:rsidRPr="003F4B95">
              <w:rPr>
                <w:rFonts w:ascii="宋体" w:hAnsi="宋体"/>
                <w:szCs w:val="21"/>
              </w:rPr>
              <w:t xml:space="preserve"> 2010.07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清华大学电机系</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2010.07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2010.08</w:t>
            </w:r>
            <w:r>
              <w:rPr>
                <w:rFonts w:ascii="宋体" w:hAnsi="宋体" w:hint="eastAsia"/>
                <w:szCs w:val="21"/>
              </w:rPr>
              <w:t xml:space="preserve">--</w:t>
            </w:r>
            <w:r w:rsidRPr="003F4B95">
              <w:rPr>
                <w:rFonts w:ascii="宋体" w:hAnsi="宋体"/>
                <w:szCs w:val="21"/>
              </w:rPr>
              <w:t xml:space="preserve"> 2015.07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清华大学电机系</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电力系统自动化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2015.07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合格</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优秀</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2013-11</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2014-10</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美国伦斯勒理工学院（RPI）电气与计算机和系统工程系</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2018-08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清华大学电机系</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2017-08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2017-10</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美国丹佛大学（DU）电气工程与自动化学院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2018-08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2022-09</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北京交通大学电气学院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副教授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延安大学泽东干部学院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“传承延安精神”党史学习教育培训班</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2022-06</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2022-06</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北京交通大学党委教师工作部</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第一届青年教师思政和师德培训班</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本人以立德树人为根本，以“四个统一”为原则，以“三全育人”为方针，以“课堂、实践、人才、学科”相融合为核心工作思路，四方面并举攻坚，坚持师德师风建设，持续提升职业能力，肩负起新时代青年教师的责任和担当。
                <w:br/>
                    （1）在课堂教学方面，深化课程改革、推进课程新建，作为课程负责人承担了“基础、专业、实践”三类课程，全面紧扣学院人才培养工作思路，推进铸魂育人，深挖思政元素，入职一年内获主讲教师资格至今的3年间，年均承担本科64学时、研究生6.67学时。作为课程负责人：
                <w:br/>
                    ① 根据20级本科培养大纲，新建了“人工智能与大数据”本科48学时的专业交叉基础课，支撑了本科生培养体系中的信息学科交叉融合模块；
                <w:br/>
                    ② 紧扣专业前沿，深化改革本科限选专业课“电力系统自动化”，压缩传统课程内容，大幅拓展专业知识面并持续更新前沿技术相关内容；
                <w:br/>
                    ③ 新建了“电力系统软件仿真应用实践”本科限选课程，并探索实训课程教学与思政元素的融合方式，以开放式课堂提升教学质量。
                <w:br/>
                此外，本人作为骨干教师还承担了研究生专业选修课程、本科专业实训课。在课程教学过程中注重教学方式和方法的创新和运用，参加青年教师基本功比赛并获2020年度院级三等奖。
                <w:br/>
                    （2）在应用实践方面，着力培养学生的实践创新能力。
                <w:br/>
                    ① 电力系统软件仿真应用实践课程弱化了软件使用方法演示，采用探索开放式内容供学生自由钻研探索；
                <w:br/>
                    ② 在本科电力系统专业实训课程中，融入所承担的国家自然科学基金“面上项目”中同步相量测量的基础研究内容，相关实训模块内容参编教材；
                <w:br/>
                    ③ 作为骨干参与“新工科背景下电力系统方向课程综合实践能力提升”校级教改项目，负责收集汇总学习兄弟院校电气专业实践的先进案例和经验，并发表教改论文1篇；
                <w:br/>
                    ④ 带队并指导16级本科生在青岛四方所四方厂的专业实习。
                <w:br/>
                    （3）在人才培养方面，通过本研一体的定期组会、轮换演讲等方式实现本研贯通的规范化、精细化、过程化管理，同时加强学生与国内外高校研究团队的交流并合作发表多篇高水平论文，人才培养成效显著。
                <w:br/>
                    ① 首届硕士毕业生共5人均顺利毕业：除1名留学生外，4名中国籍学生中1人获国家奖学金、3人获学业一等奖，2人获校级优秀毕业生。协助指导的5名硕士研究生顺利毕业，1人获北京市优秀毕业生、优秀学生干部。在读的4名硕士研究生均获学业一等奖。
                <w:br/>
                    ② 鼓励学生拓展国际视野，所带研究生近3年参加重要国际会议并演讲或张贴海报12人次，同时疫情期间还多次组织课题小组集体线上参会。1人获CIEEC-2019会议最佳论文。
                <w:br/>
                    ③ 指导本科毕设10人，其中张梓旋同学发表国际顶级会议PESGM、SCI权威期刊MPCE论文各1篇并被评为校级本科毕设优秀论文。
                <w:br/>
                    ④ 担任本科新能源2002班班主任，班级获2021年校级优良学风班一等奖（大一成绩年级前5名占4席）、2022年校级五星甲级团支部，多次院级主题团日奖；新任2022级研究生班主任。
                <w:br/>
                    （4）在学科和专业建设方面，作为骨干教师深度参与学院多项相关工作，负责电力系统方向的对外联络、组织申报、资料汇总等工作。
                <w:br/>
                    ① 作为工作骨干参与电气学院研究生国际化培养的探索与实践，以新形势下的人才需求为导向，以创新能力为驱动，大幅提升了学院研究生国际化水平和能力并取得显著成效，相关成果分别获2021年度北京市高等教育教学成果奖二等奖（排序7/15）和北京交通大学教学成果一等奖（排序7/15）。
                <w:br/>
                    ② 作为骨干教师参与学院本科新专业“智能电网信息工程”的申请，负责调研并制定培养大纲；
                <w:br/>
                    ③ 作为骨干教师参与第五轮学科评估相关工作，负责科研项目信息统计汇总，同时个人科研业绩有5项入选评估材料。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电力系统自动化</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90L157Q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12</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电力系统仿真软件应用实践</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电力系统自动化</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90L157Q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12</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电力系统仿真软件应用实践</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27</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电力系统自动化</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90L157Q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电力系统仿真软件应用实践</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26</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电能质量分析与控制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M507023B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电能质量分析与控制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M507023B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11</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本人入职一年内获主讲教师资格，19年9月至今3年间，年均承担本科64学时、研究生6.67学时教学任务</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3</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192</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48</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0</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0</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1</w:t>
            </w:r>
            <w:r>
              <w:rPr>
                <w:u w:val="single"/>
              </w:rPr>
              <w:t xml:space="preserve"> </w:t>
            </w:r>
            <w:r>
              <w:rPr>
                <w:rFonts w:hint="eastAsia"/>
              </w:rPr>
              <w:t>门，合计</w:t>
            </w:r>
            <w:r>
              <w:rPr>
                <w:u w:val="single"/>
              </w:rPr>
              <w:t xml:space="preserve"> </w:t>
            </w:r>
            <w:r w:rsidR="00F329F7">
              <w:rPr>
                <w:rFonts w:hint="eastAsia"/>
                <w:u w:val="single"/>
              </w:rPr>
              <w:t xml:space="preserve">20</w:t>
            </w:r>
            <w:r>
              <w:rPr>
                <w:u w:val="single"/>
              </w:rPr>
              <w:t xml:space="preserve"> </w:t>
            </w:r>
            <w:r>
              <w:rPr>
                <w:rFonts w:hint="eastAsia"/>
              </w:rPr>
              <w:t>学时，年均</w:t>
            </w:r>
            <w:r>
              <w:rPr>
                <w:rFonts w:hint="eastAsia"/>
              </w:rPr>
              <w:t xml:space="preserve"> </w:t>
            </w:r>
            <w:r w:rsidR="00F329F7" w:rsidRPr="00FD101F">
              <w:rPr>
                <w:rFonts w:hint="eastAsia"/>
                <w:u w:val="single"/>
              </w:rPr>
              <w:t xml:space="preserve">5</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新工科下电力系统课程综合实践能力提升</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电气电子教学学报</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1008-0686</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2021-10</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1</w:t>
            </w:r>
            <w:r w:rsidR="006C4318">
              <w:rPr>
                <w:rFonts w:ascii="宋体" w:hAnsi="宋体" w:hint="eastAsia"/>
              </w:rPr>
              <w:t>(</w:t>
            </w:r>
            <w:r>
              <w:rPr>
                <w:rFonts w:ascii="宋体" w:hAnsi="宋体"/>
              </w:rPr>
              <w:t xml:space="preserve">1</w:t>
            </w:r>
            <w:r w:rsidR="006C4318">
              <w:rPr>
                <w:rFonts w:ascii="宋体" w:hAnsi="宋体" w:hint="eastAsia"/>
              </w:rPr>
              <w:t>):</w:t>
            </w:r>
            <w:r>
              <w:rPr>
                <w:rFonts w:ascii="宋体" w:hAnsi="宋体"/>
              </w:rPr>
              <w:t xml:space="preserve">1-5</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4/5</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已录用（电气电子教学学报官网可查）</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新工科背景下电力系统方向课程综合实践能力提升</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2021-05</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4/8</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已结题</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人工智能与大数据课程建设（必修48学时）</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作为课程负责人根据“20级本科培养大纲”，新建本科必修48学时课程：人工智能与大数据</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第一次开课时间为2022-2023-1学期，20级本科生共321人选课。</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电力系统自动化课程建设（限选32学时）</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作为课程负责人针对20级培养大纲的课程建设更新了80%以上课程内容</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更新了80%以上的课程内容，增加了配网自动化、电能质量和电力市场部分</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电力系统软件仿真应用实践课程建设（限选16学时）</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作为课程负责人根据“16级本科培养大纲”，新建本科限选16学时实践课程：电力系统软件仿真应用实践</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创新性地采用开放式教学内容和实验内容，显著提升课堂教学成效</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本科新专业申请 - 智能电网信息工程</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2022年作为主要负责人参与申请本科新专业：智能电网信息工程</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骨干教师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申请时间为2022年上半年，目前已提交申请材料。</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第五轮学科评估</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以系所联系人身份参与了学院第五轮学科评估材料的撰写和整理工作，负责学院科研项目信息梳理、填报，电力系相关信息搜集、完善、汇总</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骨干教师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共5项个人科研成果入选学科评估申报材料</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北京市高等教育教学成果奖 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北京市教育委员会</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需求导向，创新驱动，电气学科国际化人才培养的探索与实践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7/15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北京交通大学教学成果奖 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需求导向，创新驱动，电气学科国际化人才培养的探索与实践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7/15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北京交通大学电气学院教学基本功比赛 - 三等奖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北京交通大学电气学院</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青年教师教学基本功比赛（电力系统自动化）</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2020-11</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1/1</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校级本科优秀毕业论文指导教师</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校级本科优秀毕业论文-张梓旋[18292056]</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2022-07</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1/1</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指导学生生产实习（2017级本科生）</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2019年7月10日至20日</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16</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青岛四方所、四方厂的实习将书本知识和工程实践相结合，受益匪浅，认识到在实践中不断提高自身的专业知识水平的重要性。</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9</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5</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是</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10</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全部顺利毕业。首届毕业硕士5人，1人获国家奖学金，3人获学业一等奖，2人获校级优秀毕业生。
</w:t>
              <w:br/>
              <w:t xml:space="preserve">校级本科毕设优秀论文1篇。</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
                指导毕业硕士留学生1名（巴基斯坦籍）；
                <w:br/>
                毕业专硕2名：汪聪慧（国家奖学金、校级优秀毕业生），刘金莹（学业一等奖学金、校级优秀毕业生）；
                <w:br/>
                毕业学硕2名：云秋晨（学业一等奖学金），杨甜甜（学业一等奖学金）。
                <w:br/>
                指导在读硕士4名：刘军（学业一等奖学金，发表An2、An5论文各1篇），李佳欣（学业一等奖学金，发表An2论文1篇），李悦蕾（学业一等奖学金），刘美倩（专硕，学业一等奖学金，发表An2论文1篇）。
                <w:br/>
                协助指导硕士研究生5人：范译文，石超，严英，何大伟，李志达。
                <w:br/>
                其中李志达（19级硕士）获2022年北京市优秀毕业生、北京市优秀学生干部。
                <w:br/>
                指导本科毕设10人中3人成绩为优（A、A+），张梓旋获2022校级优秀毕设论文。
                <w:br/>
                协助指导本科毕设1人，成绩A+。
              </w:t>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2020年8月至今</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本科生新2002班班主任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学风、班风、班委队伍建设，思想动态交流，检查宿舍等</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获校级2021年优良学风班一等奖、2022年五星甲级团支部；院级主题团日一、二、三等奖各1/2/1次</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本人的科研工作围绕基础理论和应用技术研究同时开展，理论和应用并举、互相支撑深度融合，即深入研究并攻坚电力系统广域动态测量与控制方面的基础理论问题，进而由其指导能量-信息-价值融合的交通能源系统优化运行与控制方面的实用化应用技术研发。现任职称以来的主要科研业绩包括：发表An论文13篇，其中顶级、权威SCI论文5篇（一区2篇、二区3篇，均为一作）、权威EI期刊论文2篇（一作、通讯各1篇）；发明专利授权13项、公开18项；主持科研项目10项/300万元、参与项目18项/886万元；出版独著学术专著1本；基础理论研究获批主持国家自然科学基金“面上项目”；应用技术研究入选中国科协“青年人才托举工程”；实施专利转化项目1项（125万元）；获中国电工技术学会科技进步一等奖；在第五轮学科评估中有5项科研业绩入选评估材料。具体业绩贡献如下。
                <w:br/>
                    （1）针对广域动态测量与控制方面的基础理论问题，围绕广域同步相量的时间连续性和空间相关性特征分别从三方面展开：第一，针对海量同步相量数据压缩问题，分别提出了适用于测量终端的实时数据压缩算法（代表作4）、适用于站端的迭代主成分分析数据压缩算法（代表作1），实现了高精度高压缩比的零时延测量数据压缩。第二，针对电力系统广域闭环控制随机、未知的闭环时延，提出分层预测时延补偿算法实现了接近理想的时延补偿特性（代表作2）。第三，针对基于基波同步相量的次同步/超同步振荡的参数辨识问题，分别提出了改进复数频谱分析算法（代表作3）和基于基波同步相量轨迹拟合的次同步振荡参数辨识算法（代表作5，及1篇An2期刊论文），实现了仅利用100 Hz上报的基波同步相量数据辨识100 Hz范围内次同步/超同步振荡分量的参数，解决了频谱精度与数据窗长度的矛盾问题，辨识精度提升2个数量级而数据窗缩短为100 ms（仅为已有方法的1/20），攻克了次同步振荡广域监测的实时性和精度问题。
                <w:br/>
                    上述基础理论研究内容取得的成果包括：
                <w:br/>
                    ① 共发表一作顶级或权威SCI论文5篇、EI期刊论文1篇、EI国际会议论文6篇；
                <w:br/>
                    ② 获批主持国家自然科学基金“面上项目”（同步相量数据特征实时提取的理论与技术研究，52077004）；
                <w:br/>
                    ③ 由科学出版社出版独著32万字的学术专著《电力系统广域测量与控制应用技术》。
                <w:br/>
                    同时，相关研究成果融入并支撑了本科专业实训、研究生电能质量分析课程，实现了科教融合。
                <w:br/>
                    （2）针对交通能源系统优化运行与控制方面的应用技术问题，将同步量测信息及控制的理论和算法引入综合能源系统快速动态的高灵活性优化运行研究中，针对人员流动随机性、非理性用能特性、用能满意度评估开展了系统优化运行策略研究，并应用于校园综合能源系统、交通能源系统两类具体场景。
                <w:br/>
                    ① “交通能源系统优化运行与控制”的应用技术研究分别入选了2019年度的中国科协（由中国电工技术学会推荐）和中国电机工程学会的“青年人才托举工程”。同时该研究支撑了课题组“含异构多源和交通负荷的复杂配电网安全运行关键技术研究及应用”相关项目并获中国电工技术学会科学技术奖一等奖（排序12/15）。
                <w:br/>
                    ② 基于双向能量缓存的充电桩功率提升系统、动态测量数据压缩和参数辨识方法的相关专利成果以单一项目实施许可转化125万元，推进了成果实用化和落地应用。
                <w:br/>
                    ③ 针对校园微网优化运行的研究应用于北京交通大学校园，节能成效显著并被央视新闻联播、新闻直播间作为优秀典型报道。相关成果发表于CIEEC2019国际会议（通讯作者）并获最佳论文奖。
                <w:br/>
                    上述应用技术研究成果发表权威EI期刊论文1篇（学生一作、本人通讯）、EI国际会议论文6篇，发明专利授权13项、公开18项（其中第一发明人授权8项、公开5项）。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Synchrophasor Data Compression Technique With Iteration-Enhanced Phasor Principal Component Analysis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SMART GRID</w:t>
            </w:r>
            <w:r>
              <w:rPr>
                <w:rFonts w:ascii="宋体" w:hAnsi="宋体" w:hint="eastAsia"/>
              </w:rPr>
              <w:t>,</w:t>
            </w:r>
            <w:r w:rsidR="00AD4171" w:rsidRPr="0030321F">
              <w:rPr>
                <w:rFonts w:ascii="宋体" w:hAnsi="宋体"/>
              </w:rPr>
              <w:t xml:space="preserve">1949-3053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2021-05,12</w:t>
            </w:r>
            <w:r w:rsidR="006C4318">
              <w:rPr>
                <w:rFonts w:ascii="宋体" w:hAnsi="宋体" w:hint="eastAsia"/>
              </w:rPr>
              <w:t>(</w:t>
            </w:r>
            <w:r w:rsidRPr="0030321F">
              <w:rPr>
                <w:rFonts w:ascii="宋体" w:hAnsi="宋体"/>
              </w:rPr>
              <w:t xml:space="preserve">3</w:t>
            </w:r>
            <w:r w:rsidR="006C4318">
              <w:rPr>
                <w:rFonts w:ascii="宋体" w:hAnsi="宋体" w:hint="eastAsia"/>
              </w:rPr>
              <w:t>):</w:t>
            </w:r>
            <w:r w:rsidRPr="0030321F">
              <w:rPr>
                <w:rFonts w:ascii="宋体" w:hAnsi="宋体"/>
              </w:rPr>
              <w:t xml:space="preserve">2365-2377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张放,王小君,严英,和敬涵,高文忠,陈刚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B0221E0243</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An1顶级期刊，提出实用化的迭代相量主成分分析数据压缩方法，保证重建精度并大幅提高数据压缩率、显著降低计算量</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Prediction-Based Hierarchical Delay Compensation (PHDC) Technique Enhanced by Increment Autoregression Prediction for Wide-Area Control Systems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SMART GRID</w:t>
            </w:r>
            <w:r>
              <w:rPr>
                <w:rFonts w:ascii="宋体" w:hAnsi="宋体" w:hint="eastAsia"/>
              </w:rPr>
              <w:t>,</w:t>
            </w:r>
            <w:r w:rsidR="00AD4171" w:rsidRPr="0030321F">
              <w:rPr>
                <w:rFonts w:ascii="宋体" w:hAnsi="宋体"/>
              </w:rPr>
              <w:t xml:space="preserve">1949-3053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2020-03,11</w:t>
            </w:r>
            <w:r w:rsidR="006C4318">
              <w:rPr>
                <w:rFonts w:ascii="宋体" w:hAnsi="宋体" w:hint="eastAsia"/>
              </w:rPr>
              <w:t>(</w:t>
            </w:r>
            <w:r w:rsidRPr="0030321F">
              <w:rPr>
                <w:rFonts w:ascii="宋体" w:hAnsi="宋体"/>
              </w:rPr>
              <w:t xml:space="preserve">2</w:t>
            </w:r>
            <w:r w:rsidR="006C4318">
              <w:rPr>
                <w:rFonts w:ascii="宋体" w:hAnsi="宋体" w:hint="eastAsia"/>
              </w:rPr>
              <w:t>):</w:t>
            </w:r>
            <w:r w:rsidRPr="0030321F">
              <w:rPr>
                <w:rFonts w:ascii="宋体" w:hAnsi="宋体"/>
              </w:rPr>
              <w:t xml:space="preserve">1253-1263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张放,程林,黎雄,孙元章</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B0220E0016</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An1顶级期刊，针对电力系统广域闭环控制随机、未知的闭环时延，所提分层预测时延补偿算法实现了接近理想的时延补偿特性</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An Improved Interpolated DFT-based Parameter Identification for Sub-/Super-synchronous Oscillations with Synchrophasors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Systems</w:t>
            </w:r>
            <w:r>
              <w:rPr>
                <w:rFonts w:ascii="宋体" w:hAnsi="宋体" w:hint="eastAsia"/>
              </w:rPr>
              <w:t>,</w:t>
            </w:r>
            <w:r w:rsidR="00AD4171" w:rsidRPr="0030321F">
              <w:rPr>
                <w:rFonts w:ascii="宋体" w:hAnsi="宋体"/>
              </w:rPr>
              <w:t xml:space="preserve">0885-8950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2022-03,1</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1-13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张放,李佳欣,刘军,Gao,和敬涵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B0222E0146</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An2权威期刊，改进频谱分析参数辨识，首次利用100Hz基波同步相量辨识出基波/次同步/超同步分量的频率、幅值、相位</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Real-Time Synchrophasor Data Compression Technique with Phasor Interpolation and Extrapolation</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Journal of Modern Power Systems and Clean Energy</w:t>
            </w:r>
            <w:r>
              <w:rPr>
                <w:rFonts w:ascii="宋体" w:hAnsi="宋体" w:hint="eastAsia"/>
              </w:rPr>
              <w:t>,</w:t>
            </w:r>
            <w:r w:rsidR="00AD4171" w:rsidRPr="0030321F">
              <w:rPr>
                <w:rFonts w:ascii="宋体" w:hAnsi="宋体"/>
              </w:rPr>
              <w:t xml:space="preserve">2196-5625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2022-07,1</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1-13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张放,刘美倩,张梓旋,和敬涵,Gao</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B0222E0147</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An2顶级期刊，利用时间连续性，通过内插值与外插值相结合，实现适用于测量终端PMU的零时延高实时性同步相量数据压缩</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基于同步相量轨迹拟合的电力系统次同步/超同步振荡的实时参数辨识</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中国电机工程学报</w:t>
            </w:r>
            <w:r>
              <w:rPr>
                <w:rFonts w:ascii="宋体" w:hAnsi="宋体" w:hint="eastAsia"/>
              </w:rPr>
              <w:t>,</w:t>
            </w:r>
            <w:r w:rsidR="00AD4171" w:rsidRPr="0030321F">
              <w:rPr>
                <w:rFonts w:ascii="宋体" w:hAnsi="宋体"/>
              </w:rPr>
              <w:t xml:space="preserve">0258-8013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2022-02,1</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1-13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张放,刘军,李佳欣,谢小荣</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B0222E0148</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An5权威期刊，所提轨迹拟合法解决了频谱精度与数据窗长度的矛盾，精度提升2个数量级且数据窗仅为已有方法的1/20</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2365CF" w:rsidRPr="00003F29" w:rsidTr="006F2139">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2365CF" w:rsidRPr="00FD336F" w:rsidRDefault="002365CF" w:rsidP="000D5272">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电力系统广域测量与控制应用技术</w:t>
            </w:r>
          </w:p>
        </w:tc>
        <w:tc>
          <w:tcPr>
            <w:tcW w:w="184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Pr>
                <w:rFonts w:ascii="宋体" w:hAnsi="宋体"/>
              </w:rPr>
              <w:t xml:space="preserve">科学出版社</w:t>
            </w:r>
            <w:r>
              <w:rPr>
                <w:rFonts w:ascii="宋体" w:hAnsi="宋体" w:hint="eastAsia"/>
              </w:rPr>
              <w:t>/</w:t>
            </w:r>
            <w:r>
              <w:rPr>
                <w:rFonts w:ascii="宋体" w:hAnsi="宋体"/>
              </w:rPr>
              <w:t xml:space="preserve">978-7-03-072475-5</w:t>
            </w:r>
          </w:p>
        </w:tc>
        <w:tc>
          <w:tcPr>
            <w:tcW w:w="992"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2022-07</w:t>
            </w:r>
          </w:p>
        </w:tc>
        <w:tc>
          <w:tcPr>
            <w:tcW w:w="99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专著</w:t>
            </w:r>
          </w:p>
        </w:tc>
        <w:tc>
          <w:tcPr>
            <w:tcW w:w="1267"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独著</w:t>
            </w:r>
          </w:p>
        </w:tc>
        <w:tc>
          <w:tcPr>
            <w:tcW w:w="1134"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2000册/1次</w:t>
            </w:r>
          </w:p>
        </w:tc>
        <w:tc>
          <w:tcPr>
            <w:tcW w:w="170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32</w:t>
            </w:r>
            <w:r>
              <w:rPr>
                <w:rFonts w:ascii="宋体" w:hAnsi="宋体" w:hint="eastAsia"/>
              </w:rPr>
              <w:t>/</w:t>
            </w:r>
            <w:r w:rsidRPr="0030321F">
              <w:rPr>
                <w:rFonts w:ascii="宋体" w:hAnsi="宋体"/>
              </w:rPr>
              <w:t xml:space="preserve">32</w:t>
            </w:r>
          </w:p>
        </w:tc>
        <w:tc>
          <w:tcPr>
            <w:tcW w:w="337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结合最新研究成果深入阐述和分析了同步相量数据压缩、次同步振荡参数辨识和广域闭环控制的工程实用化技术的可行性和有效性</w:t>
            </w:r>
          </w:p>
        </w:tc>
        <w:tc>
          <w:tcPr>
            <w:tcW w:w="74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任现职至今以一作/通讯发表An1、An2、An5类论文各2、3、2篇、An类论文共发表13篇，发表EI国际会议12篇。</w:t>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E20A0300020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国家自然科学基金“面上”</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同步相量数据特征实时提取的理论与技术研究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张放</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55.0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27.5</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中国科协</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第五届青年人才托举工程项目（2019-2021年度），中国电工技术学会推荐</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交通能源系统优化运行与控制关键技术</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2019-01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张放</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E19A800010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国家自然科学基金"青年基金"</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青年项目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基于区块链技术的能量信息化多能微网研究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2018-01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张放</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10.4</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10.4</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1/13</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E20L00640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国家电网全球能源互联网集团有限公司项目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考虑高比例可再生能源空间分布特性的网源协同规划研究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张放</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59.5</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59.5</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E19L00471</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国家电网总部项</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城市智慧能源体系典型设计与运行服务研究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2019-07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和敬涵</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50.0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2/12</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
                青年托举项目经费由电工学会与北交大协议自筹，故未在科技处立项
                <w:br/>
                主持/参与项目26项，经费1186万
              </w:t>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基于双向能量缓存的充电桩功率提升系统及方法(等3项)专利实施许可</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E22ZH200030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2022-06</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许可</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125.0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125.0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任现职至今，第一发明人的发明专利授权8项、公开5项（总计授权13项、公开18项），成果转化的专利3项</w:t>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中国电工技术学会科学技术奖一等奖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全国一级学会科学技术奖一等奖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中国电工技术学会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含异构多源和交通负荷的复杂配电网安全运行关键技术研究及应用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2020-04</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12</w:t>
            </w:r>
            <w:r w:rsidRPr="00FD7E86">
              <w:rPr>
                <w:rFonts w:ascii="宋体" w:hAnsi="宋体" w:hint="eastAsia"/>
              </w:rPr>
              <w:t>/</w:t>
            </w:r>
            <w:r w:rsidRPr="00FD7E86">
              <w:rPr>
                <w:rFonts w:ascii="宋体" w:hAnsi="宋体"/>
              </w:rPr>
              <w:t xml:space="preserve">15</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最佳论文（通讯作者） -  IEEE 3th International Electrical and Energy Conference（CIEEC 2019）</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国际会议最佳论文</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IEEE、中国电工技术学会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Research on Orderly Electricity Consumption Management Strategy for Campus Dormitory</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2019-09</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r w:rsidRPr="00FD7E86">
              <w:rPr>
                <w:rFonts w:ascii="宋体" w:hAnsi="宋体" w:hint="eastAsia"/>
              </w:rPr>
              <w:t>/</w:t>
            </w:r>
            <w:r w:rsidRPr="00FD7E86">
              <w:rPr>
                <w:rFonts w:ascii="宋体" w:hAnsi="宋体"/>
              </w:rPr>
              <w:t xml:space="preserve">4</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在学科建设方面，
                <w:br/>
                ① 紧跟学院发展动态、积极响应学院本科生培养计划的调整，作为课程负责人：改革电力系统自动化、新建电力系统软件仿真应用实践两门专业限选课（16级培养大纲），新建人工智能与大数据必修理论课（20级培养大纲）。
                <w:br/>
                ② 同时作为骨干教师深度参与学院新专业“智能电网信息工程”的申请工作，负责调研并制定培养大纲。
                <w:br/>
                ③ 深度参与第五轮学科评估相关工作，负责科研项目信息统计汇总等工作，同时个人成果有5项入选评估材料。
                <w:br/>
                在国际合作交流方面，
                <w:br/>
                ① 积极参加国际交流，晋级IEEE Senior Member，在2019年由IEEE、电工技术学会和北京交通大学主办第三届国际电气与能源大会（CIEEC-2019）上，担任大会首席秘书负责全面联络和论文审稿工作，同时做专题演讲并担任Section Chair，获最佳论文奖；在2020年有IET第十六届交直流输电国际会议（ACDC-2020）上做专题演讲并担任Section Chair；多次参加业内顶级国际会议PES General Meeting并演讲。
                <w:br/>
                ② 与Joe Chow（美国工程院院士、IEEE Fellow）、David Gao（IEEE Fellow）等多位海外教授保持密切协作并合作发表多篇论文。
                <w:br/>
                ③ 鼓励学生拓展国际视野，所带研究生近3年参加重要国际会议并演讲或张贴海报12人次。
                <w:br/>
                ④ 作为骨干参与电气学院研究生国际化培养的探索与实践相关工作并取得显著成效，相关成果分别获北京市、北京交通大学研究生教育成果奖。
                <w:br/>
                在社会和公共服务方面，
                <w:br/>
                ① 担任电力系教师党支部书记，深入开展师德师风警示学习教育，积极联系并发展海外归国年轻教师，多次开展“电力系研究生论文预评审流程研讨会”、“专著写作方法及注意事项研讨会”等“我为群众办实事”特色活动，积极服务群众并做到党务带动业务。相关工作得到学院认可，作为负责人代表学院申报2022年度校级“双带头人”支部书记工作室。
                <w:br/>
                ② 同时积极参与学院事务性工作，担任本科新能源2002班班主任、2022级研究生班主任。
                <w:br/>
                ③ 在学术组织任职方面，紧密联系中国电工技术学会、中国电机工程学会，依托“青年人才托举工程”项目，担任中国电工技术学会青年工作委员会委员、《电力需求侧管理》期刊编委，担任多个国际、国内期刊审稿人。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中国电工技术学会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202203</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青年工作委员会委员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2</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IEEE（电气与电子工程师协会）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202010</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Senior Member （高级会员）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2020年度“电气支柱”荣誉称号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北京交通大学电气学院</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电气支柱</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2021-03</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科研成果服务北交大校园建设，针对北交大校园电网接入容量受限、人员时空流动性显著等问题开展校园有序用电优化策略研究，校园节能成效显著，成果作为教育部试点推广应用，北交大作为校园低碳节能优秀典型被央视新闻联播、新闻直播间报道。
                <w:br/>
                （2）与国家电网、中国电机工程学会、实业企业等多类单位合作，主持科研项目10项（总计299.85万元），其中纵向项目2项（总计65.4万元）；积极服务所在科研团队，作为项目骨干参与团队科研项目18项（总计885.7万元），其中纵向项目1项（总计57万元）。
                <w:br/>
                （3）参编教材《电气工程科教融合实践训练教程》，承担1.5万字/总计35万字，已与机械工业出版社签订签出版合同，预计在2023年7月前出版。
                <w:br/>
                （4）积极主动参加学校、学院各类志愿和捐款活动，充分发挥了党员先锋带头作用，尤其是疫情期间的相关工作，包括2020年夏季毕业季本科生、研究生毕业年级宿舍打包邮寄工作志愿者、2022年北京疫情期间校内快递定点服务点志愿者等。在2020年电气学院20周年院庆活动中负责对接、陪同、接送重要参会人员。
                <w:br/>
                （5）积极参与各类重要实践和培训并积极表现。参加了2021年“传承延安精神”党史学习教育培训班。参加2022年北京交通大学第一届青年教师思政与师德师风培训班，因为表现优秀被选为学员代表在结业式上发言。
                <w:br/>
                （6）作为发起人和联络人联络商讨与电力规划设计总院建立人才培养和项目攻坚合作关系，由电力规划设计总院博士后科研工作站与北京交通大学电气工程学院流动站合作，联合培养博士后，校企联合、优势互补。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一、工作思路
                <w:br/>
                （1）在科研方面，进一步聚焦国家重大发展需求和研究热点，深入融合理论基础和应用技术研究，争取获批国家级、省部级青年人才项目、主持重点研发计划子课题等上水平项目。进一步加强与企业的项目合作实现更大范围的成果转化。
                <w:br/>
                （2）在人才培养方面，贯通和完善承担的“基础、专业、实践”三类课程，做到“三位一体”，加强课程思政建设落实立德树人根本任务；贯彻“四通”教育教学理念，促进科教融合，打造优质课程和课堂；凝练总结教学内容和经验，形成讲义和教材，冲击“精品课”、“金课”；加强研究生过程管理及本、研学生交流，提高人才培养质量。
                <w:br/>
                （3）在公共服务方面，做好党支部书记本职工作，党支部工作争优争先并以党建促科研，参与学科平台建设，加强学术交流，参与业内学会服务性工作。
                <w:br/>
                二、任期目标和预期成果
                <w:br/>
                1. 科研方面：
                <w:br/>
                （1）新增国家自然科学基金“面上基金” 1 项，获批省部级以上奖励 1 项。
                <w:br/>
                （2）积极争取国家级青年人才、北京市杰出青年基金等项目的支持，积极争取主持国家重点研发计划子课题等上水平项目。
                <w:br/>
                （3）提高高水平论文产出，力争发表高被引论文，争取冲击Nature Energy等顶级论文。
                <w:br/>
                （4）加强学术影响力，争取在重要国际会议上做特邀报告3次以上。
                <w:br/>
                （5）邀请国内外专家学术讲座年均2-3次，加强学术交流和团队间合作。
                <w:br/>
                （6）继续加强行业内项目合作，产学研结合，争取更多的成果转化。
                <w:br/>
                2. 人才培养方面：
                <w:br/>
                （1）保持高质量人才培养，争取优秀学位论文2-3 篇；新增培养博士2-3人、博士后 1-2 人。
                <w:br/>
                （2）深化课程建设及教学改革，进一步提升教学质量和成效，完成“人工智能与大数据”课程建设并申报国家级精品课和“金课”；增加研究生专业课课时。
                <w:br/>
                （3）凝练总结课程内容，撰写“电力系统自动化”课程教材。
                <w:br/>
                （4）指导大创项目、专业学科竞赛，并争取获得奖励 1-2 项。
                <w:br/>
                3. 公共服务：
                <w:br/>
                （1）做好党支部书记本职工作，党支部工作争优争先并以党建促科研。
                <w:br/>
                （2）加强学术交流，参与业内学会服务性工作。
                <w:br/>
                （3）全力支持学院的各项工作。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
                本人全面贯彻党和国家的教育方针，坚持正确育人方向，坚持“为党育人、为国育才”，坚持“四个统一”师德师风建设，恪守职业道德，严格遵守高校教师职业行为十项准则和《北京交通大学教师职业行为规范》。在课堂教学和指导学生科研时，坚持立德树人，注重学生思想道德、家国情怀的引导，培养学生自主创新能力。作为青年教师，传承红色基因、继承优良传统，成为社会主义核心价值观的坚定信仰者、积极传播者、模范践行者，为党和国家事业发展夯实人才根基、汇聚智慧力量。
                <w:br/>
                    作为一名高中入党的“老党员”，本人紧跟党的指挥棒，政治立场坚定，长期坚持党的政治理论学习。在所在的电力系教师党支部曾任宣传委员、现任党支部书记。本人积极做好支部书记本职工作，支部工作以党建促科研、带教学，各项工作争优争先。多次深入开展师德师风警示学习教育，积极联系并发展海外归国年轻教师，多次开展“我为群众办实事”特色活动，积极服务群众并做到党务带动业务。相关工作得到学院认可，作为负责人代表学院申报2022年度校级“双带头人”支部书记工作室。同时，本人积极参加各类实践和培训活动以提升自身能力和修养，2021年7月参加电气学院与延安大学泽东干部学院主办的“传承延安精神”党史学习教育培训班、2022年6月参加北京交通大学党委教师工作部组织的第一届青年教师思政和师德培训班并在结业式上作代表发言。
                <w:br/>
                    本人对党忠诚、坚守信仰、不忘初心、牢记使命，在工作和生活时刻严格要求自己，着力为祖国培养更多德才兼备、全面发展的有志青年，为实现中华民族伟大复兴的中国梦积极贡献智慧和力量。
              </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